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98" w:rsidRDefault="008A7C98" w:rsidP="008A7C98">
      <w:pPr>
        <w:spacing w:before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A1A1A"/>
          <w:spacing w:val="-1"/>
          <w:kern w:val="36"/>
          <w:sz w:val="48"/>
          <w:szCs w:val="48"/>
        </w:rPr>
      </w:pPr>
      <w:proofErr w:type="spellStart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48"/>
          <w:szCs w:val="48"/>
          <w:bdr w:val="none" w:sz="0" w:space="0" w:color="auto" w:frame="1"/>
        </w:rPr>
        <w:t>Hemolacria</w:t>
      </w:r>
      <w:proofErr w:type="spellEnd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48"/>
          <w:szCs w:val="48"/>
          <w:bdr w:val="none" w:sz="0" w:space="0" w:color="auto" w:frame="1"/>
        </w:rPr>
        <w:t xml:space="preserve"> - </w:t>
      </w:r>
      <w:proofErr w:type="spellStart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48"/>
          <w:szCs w:val="48"/>
          <w:bdr w:val="none" w:sz="0" w:space="0" w:color="auto" w:frame="1"/>
        </w:rPr>
        <w:t>Khóc</w:t>
      </w:r>
      <w:proofErr w:type="spellEnd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48"/>
          <w:szCs w:val="48"/>
          <w:bdr w:val="none" w:sz="0" w:space="0" w:color="auto" w:frame="1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color w:val="1A1A1A"/>
          <w:spacing w:val="-1"/>
          <w:kern w:val="36"/>
          <w:sz w:val="48"/>
          <w:szCs w:val="48"/>
          <w:bdr w:val="none" w:sz="0" w:space="0" w:color="auto" w:frame="1"/>
        </w:rPr>
        <w:t>máu</w:t>
      </w:r>
      <w:proofErr w:type="spellEnd"/>
    </w:p>
    <w:p w:rsidR="008A7C98" w:rsidRPr="00210BF1" w:rsidRDefault="008A7C98" w:rsidP="006D0A14">
      <w:pPr>
        <w:spacing w:before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1A1A1A"/>
          <w:spacing w:val="-1"/>
          <w:kern w:val="36"/>
          <w:sz w:val="48"/>
          <w:szCs w:val="48"/>
        </w:rPr>
      </w:pP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10BF1">
        <w:rPr>
          <w:sz w:val="26"/>
          <w:szCs w:val="26"/>
        </w:rPr>
        <w:t xml:space="preserve"> </w:t>
      </w:r>
      <w:hyperlink r:id="rId5" w:history="1">
        <w:r w:rsidRPr="00210BF1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https://www.nejm.org/doi/full/10.1056/NEJMicm1805241</w:t>
        </w:r>
      </w:hyperlink>
      <w:r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7C98" w:rsidRPr="00210BF1" w:rsidRDefault="008A7C98" w:rsidP="006D0A14">
      <w:pPr>
        <w:spacing w:before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10BF1">
        <w:rPr>
          <w:rFonts w:ascii="Times New Roman" w:hAnsi="Times New Roman" w:cs="Times New Roman"/>
          <w:sz w:val="26"/>
          <w:szCs w:val="26"/>
        </w:rPr>
        <w:t xml:space="preserve">BS.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Khánh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Quỳnh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Khoa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Y –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ĐH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210B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A7C98" w:rsidRPr="00210BF1" w:rsidRDefault="008A7C98" w:rsidP="006D0A14">
      <w:pPr>
        <w:shd w:val="clear" w:color="auto" w:fill="FFFFFF"/>
        <w:spacing w:before="30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10BF1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599CDBDF" wp14:editId="71ABD845">
            <wp:extent cx="4257675" cy="2962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óc máu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712" cy="296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C98" w:rsidRPr="00210BF1" w:rsidRDefault="008A7C98" w:rsidP="006D0A14">
      <w:pPr>
        <w:shd w:val="clear" w:color="auto" w:fill="FFFFFF"/>
        <w:spacing w:before="30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210BF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đàn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ông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52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đau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210BF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proofErr w:type="gramStart"/>
      <w:r w:rsidRPr="00210BF1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kéo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vài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phút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tái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ngay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thăm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khám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210BF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0BF1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proofErr w:type="gram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chấn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ổ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mũi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cam,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răng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bầm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tím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captopril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huyết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huyết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Khám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lâm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sàng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viêm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0BF1">
        <w:rPr>
          <w:rFonts w:ascii="Times New Roman" w:eastAsia="Times New Roman" w:hAnsi="Times New Roman" w:cs="Times New Roman"/>
          <w:sz w:val="26"/>
          <w:szCs w:val="26"/>
        </w:rPr>
        <w:t>mạc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nhẹ</w:t>
      </w:r>
      <w:proofErr w:type="spellEnd"/>
      <w:proofErr w:type="gram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nhưng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ổ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mí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proofErr w:type="gramStart"/>
      <w:r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210BF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giọt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dừng</w:t>
      </w:r>
      <w:proofErr w:type="spellEnd"/>
      <w:proofErr w:type="gram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vòng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thăm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khám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proofErr w:type="gramStart"/>
      <w:r w:rsidRPr="00210BF1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khe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u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mí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210BF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proofErr w:type="gramStart"/>
      <w:r w:rsidRPr="00210BF1">
        <w:rPr>
          <w:rFonts w:ascii="Times New Roman" w:eastAsia="Times New Roman" w:hAnsi="Times New Roman" w:cs="Times New Roman"/>
          <w:sz w:val="26"/>
          <w:szCs w:val="26"/>
        </w:rPr>
        <w:t>Hemolacria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hiếm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trưng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210BF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xảy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bối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nhiễm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trùng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viêm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chấn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u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chảy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ngược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spellStart"/>
      <w:proofErr w:type="gramStart"/>
      <w:r w:rsidRPr="00210BF1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u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mạch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mí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lastRenderedPageBreak/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thuốc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timolol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210BF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0BF1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dõi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bệnh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giọt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máu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0BF1"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 w:rsidRPr="00210B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0311" w:rsidRDefault="00370311"/>
    <w:sectPr w:rsidR="00370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98"/>
    <w:rsid w:val="0021023E"/>
    <w:rsid w:val="00370311"/>
    <w:rsid w:val="00583DF5"/>
    <w:rsid w:val="006D0A14"/>
    <w:rsid w:val="008A7C98"/>
    <w:rsid w:val="009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C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C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C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C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nejm.org/doi/full/10.1056/NEJMicm1805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2018-11-23T13:42:00Z</dcterms:created>
  <dcterms:modified xsi:type="dcterms:W3CDTF">2018-11-23T13:47:00Z</dcterms:modified>
</cp:coreProperties>
</file>