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22234" w14:textId="2748159F" w:rsidR="00F54468" w:rsidRPr="00C9298A" w:rsidRDefault="00A36A93" w:rsidP="008D6F93">
      <w:pPr>
        <w:spacing w:line="360" w:lineRule="auto"/>
        <w:jc w:val="both"/>
        <w:rPr>
          <w:rFonts w:ascii="Times New Roman" w:hAnsi="Times New Roman" w:cs="Times New Roman"/>
          <w:b/>
          <w:bCs/>
          <w:color w:val="000000" w:themeColor="text1"/>
          <w:sz w:val="26"/>
          <w:szCs w:val="26"/>
          <w:lang w:val="vi-VN"/>
        </w:rPr>
      </w:pPr>
      <w:r w:rsidRPr="00C9298A">
        <w:rPr>
          <w:rFonts w:ascii="Times New Roman" w:hAnsi="Times New Roman" w:cs="Times New Roman"/>
          <w:b/>
          <w:bCs/>
          <w:color w:val="000000" w:themeColor="text1"/>
          <w:sz w:val="26"/>
          <w:szCs w:val="26"/>
          <w:lang w:val="vi-VN"/>
        </w:rPr>
        <w:t>CHẨN ĐOÁN VÀ QUẢN LÝ ĐÁI THÁO ĐƯỜNG TYPE 2 – TIẾP CẬN</w:t>
      </w:r>
    </w:p>
    <w:p w14:paraId="6E3707DE" w14:textId="77777777" w:rsidR="00F54468" w:rsidRPr="00C9298A" w:rsidRDefault="00F54468" w:rsidP="008D6F93">
      <w:pPr>
        <w:spacing w:line="360" w:lineRule="auto"/>
        <w:jc w:val="both"/>
        <w:rPr>
          <w:rFonts w:ascii="Times New Roman" w:hAnsi="Times New Roman" w:cs="Times New Roman"/>
          <w:b/>
          <w:bCs/>
          <w:color w:val="000000" w:themeColor="text1"/>
          <w:sz w:val="26"/>
          <w:szCs w:val="26"/>
          <w:shd w:val="clear" w:color="auto" w:fill="FFFFFF"/>
        </w:rPr>
      </w:pPr>
      <w:r w:rsidRPr="00C9298A">
        <w:rPr>
          <w:rFonts w:ascii="Times New Roman" w:hAnsi="Times New Roman" w:cs="Times New Roman"/>
          <w:b/>
          <w:bCs/>
          <w:color w:val="000000" w:themeColor="text1"/>
          <w:sz w:val="26"/>
          <w:szCs w:val="26"/>
          <w:shd w:val="clear" w:color="auto" w:fill="FFFFFF"/>
        </w:rPr>
        <w:t>Tác giả: BS Huỳnh Lê Thái Bão, Khoa Y, Đại học Duy Tân</w:t>
      </w:r>
    </w:p>
    <w:p w14:paraId="389BF1A5" w14:textId="12F47405" w:rsidR="00F54468" w:rsidRPr="005E46CC" w:rsidRDefault="00F54468" w:rsidP="008D6F93">
      <w:pPr>
        <w:jc w:val="both"/>
        <w:rPr>
          <w:rFonts w:ascii="Times New Roman" w:hAnsi="Times New Roman" w:cs="Times New Roman"/>
          <w:color w:val="000000" w:themeColor="text1"/>
          <w:sz w:val="26"/>
          <w:szCs w:val="26"/>
          <w:lang w:val="vi-VN"/>
        </w:rPr>
      </w:pPr>
      <w:r w:rsidRPr="00C9298A">
        <w:rPr>
          <w:rFonts w:ascii="Times New Roman" w:hAnsi="Times New Roman" w:cs="Times New Roman"/>
          <w:color w:val="000000" w:themeColor="text1"/>
          <w:sz w:val="26"/>
          <w:szCs w:val="26"/>
        </w:rPr>
        <w:t>Nguồn bài viết</w:t>
      </w:r>
      <w:r w:rsidRPr="005E46CC">
        <w:rPr>
          <w:rFonts w:ascii="Times New Roman" w:hAnsi="Times New Roman" w:cs="Times New Roman"/>
          <w:color w:val="000000" w:themeColor="text1"/>
          <w:sz w:val="26"/>
          <w:szCs w:val="26"/>
        </w:rPr>
        <w:t>:</w:t>
      </w:r>
      <w:r w:rsidR="005E46CC" w:rsidRPr="005E46CC">
        <w:rPr>
          <w:rFonts w:ascii="Times New Roman" w:hAnsi="Times New Roman" w:cs="Times New Roman"/>
          <w:color w:val="000000" w:themeColor="text1"/>
          <w:sz w:val="26"/>
          <w:szCs w:val="26"/>
          <w:lang w:val="vi-VN"/>
        </w:rPr>
        <w:t xml:space="preserve"> </w:t>
      </w:r>
      <w:r w:rsidR="005E46CC" w:rsidRPr="005E46CC">
        <w:rPr>
          <w:rFonts w:ascii="Times New Roman" w:eastAsia="Times New Roman" w:hAnsi="Times New Roman"/>
          <w:sz w:val="26"/>
          <w:szCs w:val="26"/>
        </w:rPr>
        <w:t>McGraw-Hill</w:t>
      </w:r>
      <w:r w:rsidR="005E46CC" w:rsidRPr="005E46CC">
        <w:rPr>
          <w:rFonts w:ascii="Times New Roman" w:hAnsi="Times New Roman" w:cs="Times New Roman"/>
          <w:color w:val="000000" w:themeColor="text1"/>
          <w:sz w:val="26"/>
          <w:szCs w:val="26"/>
          <w:lang w:val="vi-VN"/>
        </w:rPr>
        <w:t xml:space="preserve"> Case Files Internal Medicine </w:t>
      </w:r>
    </w:p>
    <w:p w14:paraId="5EB1A43B" w14:textId="77777777" w:rsidR="00C9298A" w:rsidRPr="00C9298A" w:rsidRDefault="00C9298A" w:rsidP="00C9298A">
      <w:pPr>
        <w:spacing w:line="0" w:lineRule="atLeast"/>
        <w:ind w:left="20"/>
        <w:rPr>
          <w:rFonts w:ascii="Times New Roman" w:hAnsi="Times New Roman" w:cs="Times New Roman"/>
          <w:b/>
          <w:color w:val="000000" w:themeColor="text1"/>
          <w:sz w:val="26"/>
          <w:szCs w:val="26"/>
        </w:rPr>
      </w:pPr>
      <w:r w:rsidRPr="00C9298A">
        <w:rPr>
          <w:rFonts w:ascii="Times New Roman" w:hAnsi="Times New Roman" w:cs="Times New Roman"/>
          <w:b/>
          <w:color w:val="000000" w:themeColor="text1"/>
          <w:sz w:val="26"/>
          <w:szCs w:val="26"/>
        </w:rPr>
        <w:t>ĐỊNH NGHĨA</w:t>
      </w:r>
    </w:p>
    <w:p w14:paraId="5FF65396" w14:textId="77777777" w:rsidR="00C9298A" w:rsidRPr="00C9298A" w:rsidRDefault="00C9298A" w:rsidP="00C9298A">
      <w:pPr>
        <w:spacing w:line="70" w:lineRule="exact"/>
        <w:rPr>
          <w:rFonts w:ascii="Times New Roman" w:eastAsia="Times New Roman" w:hAnsi="Times New Roman" w:cs="Times New Roman"/>
          <w:color w:val="000000" w:themeColor="text1"/>
          <w:sz w:val="26"/>
          <w:szCs w:val="26"/>
        </w:rPr>
      </w:pPr>
    </w:p>
    <w:p w14:paraId="07F17E68" w14:textId="77777777" w:rsidR="00C9298A" w:rsidRPr="00C9298A" w:rsidRDefault="00C9298A" w:rsidP="00C9298A">
      <w:pPr>
        <w:spacing w:line="243" w:lineRule="auto"/>
        <w:ind w:left="20"/>
        <w:jc w:val="both"/>
        <w:rPr>
          <w:rFonts w:ascii="Times New Roman" w:eastAsia="Times New Roman" w:hAnsi="Times New Roman" w:cs="Times New Roman"/>
          <w:b/>
          <w:color w:val="000000" w:themeColor="text1"/>
          <w:sz w:val="26"/>
          <w:szCs w:val="26"/>
        </w:rPr>
      </w:pPr>
      <w:r w:rsidRPr="00C9298A">
        <w:rPr>
          <w:rFonts w:ascii="Times New Roman" w:eastAsia="Times New Roman" w:hAnsi="Times New Roman" w:cs="Times New Roman"/>
          <w:b/>
          <w:color w:val="000000" w:themeColor="text1"/>
          <w:sz w:val="26"/>
          <w:szCs w:val="26"/>
        </w:rPr>
        <w:t xml:space="preserve">ĐÁI THÁO ĐƯỜNG TYPE 1: </w:t>
      </w:r>
      <w:r w:rsidRPr="00C9298A">
        <w:rPr>
          <w:rFonts w:ascii="Times New Roman" w:eastAsia="Times New Roman" w:hAnsi="Times New Roman" w:cs="Times New Roman"/>
          <w:color w:val="000000" w:themeColor="text1"/>
          <w:sz w:val="26"/>
          <w:szCs w:val="26"/>
        </w:rPr>
        <w:t>do phá hủy tự miễn các tế bào beta của đảo tụy</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dẫn đến mất hoàn toàn khả năng sản xuất insulin nội sinh. Đái tháo đường type này thường biểu hiện cấp tính, với tăng đường huyết và toan chuyển hóa. Những bệnh nhân này phụ thuộc vào insulin ngoại sinh</w:t>
      </w:r>
      <w:r w:rsidRPr="00C9298A">
        <w:rPr>
          <w:rFonts w:ascii="Times New Roman" w:eastAsia="Times New Roman" w:hAnsi="Times New Roman" w:cs="Times New Roman"/>
          <w:b/>
          <w:color w:val="000000" w:themeColor="text1"/>
          <w:sz w:val="26"/>
          <w:szCs w:val="26"/>
        </w:rPr>
        <w:t>.</w:t>
      </w:r>
    </w:p>
    <w:p w14:paraId="568B183F" w14:textId="77777777" w:rsidR="00C9298A" w:rsidRPr="00C9298A" w:rsidRDefault="00C9298A" w:rsidP="00C9298A">
      <w:pPr>
        <w:spacing w:line="75" w:lineRule="exact"/>
        <w:rPr>
          <w:rFonts w:ascii="Times New Roman" w:eastAsia="Times New Roman" w:hAnsi="Times New Roman" w:cs="Times New Roman"/>
          <w:color w:val="000000" w:themeColor="text1"/>
          <w:sz w:val="26"/>
          <w:szCs w:val="26"/>
        </w:rPr>
      </w:pPr>
    </w:p>
    <w:p w14:paraId="312E1921" w14:textId="77777777" w:rsidR="00C9298A" w:rsidRPr="00C9298A" w:rsidRDefault="00C9298A" w:rsidP="00C9298A">
      <w:pPr>
        <w:spacing w:line="244" w:lineRule="auto"/>
        <w:ind w:left="20"/>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b/>
          <w:color w:val="000000" w:themeColor="text1"/>
          <w:sz w:val="26"/>
          <w:szCs w:val="26"/>
        </w:rPr>
        <w:t xml:space="preserve">ĐÁI THÁO ĐƯỜNG TYPE 2: </w:t>
      </w:r>
      <w:r w:rsidRPr="00C9298A">
        <w:rPr>
          <w:rFonts w:ascii="Times New Roman" w:eastAsia="Times New Roman" w:hAnsi="Times New Roman" w:cs="Times New Roman"/>
          <w:color w:val="000000" w:themeColor="text1"/>
          <w:sz w:val="26"/>
          <w:szCs w:val="26"/>
        </w:rPr>
        <w:t>Sự đề kháng insulin gây ra bởi yếu tố di truyền</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và/hoặc béo phì và thiếu hụt insulin tương đối. Việc sử dụng các thuốc đường uống để tăng cường sản xuất insulin nội sinh hoặc cải thiện sự nhạy cảm với insulin là hữu ích. Insulin ngoại sinh có thể được sử dụng khi các thuốc uống không còn đủ khả năng kiểm soát đường huyết.</w:t>
      </w:r>
    </w:p>
    <w:p w14:paraId="5086E493" w14:textId="77777777" w:rsidR="00C9298A" w:rsidRPr="00C9298A" w:rsidRDefault="00C9298A" w:rsidP="00C9298A">
      <w:pPr>
        <w:spacing w:line="229" w:lineRule="exact"/>
        <w:rPr>
          <w:rFonts w:ascii="Times New Roman" w:eastAsia="Times New Roman" w:hAnsi="Times New Roman" w:cs="Times New Roman"/>
          <w:color w:val="000000" w:themeColor="text1"/>
          <w:sz w:val="26"/>
          <w:szCs w:val="26"/>
        </w:rPr>
      </w:pPr>
    </w:p>
    <w:p w14:paraId="61FBB038" w14:textId="77777777" w:rsidR="00C9298A" w:rsidRPr="00C9298A" w:rsidRDefault="00C9298A" w:rsidP="00C9298A">
      <w:pPr>
        <w:spacing w:line="0" w:lineRule="atLeast"/>
        <w:ind w:left="20"/>
        <w:rPr>
          <w:rFonts w:ascii="Times New Roman" w:hAnsi="Times New Roman" w:cs="Times New Roman"/>
          <w:b/>
          <w:color w:val="000000" w:themeColor="text1"/>
          <w:sz w:val="26"/>
          <w:szCs w:val="26"/>
        </w:rPr>
      </w:pPr>
      <w:r w:rsidRPr="00C9298A">
        <w:rPr>
          <w:rFonts w:ascii="Times New Roman" w:hAnsi="Times New Roman" w:cs="Times New Roman"/>
          <w:b/>
          <w:color w:val="000000" w:themeColor="text1"/>
          <w:sz w:val="26"/>
          <w:szCs w:val="26"/>
        </w:rPr>
        <w:t>TIẾP CẬN LÂM SÀNG</w:t>
      </w:r>
    </w:p>
    <w:p w14:paraId="0FA445DD" w14:textId="77777777" w:rsidR="00C9298A" w:rsidRPr="00C9298A" w:rsidRDefault="00C9298A" w:rsidP="00C9298A">
      <w:pPr>
        <w:spacing w:line="8" w:lineRule="exact"/>
        <w:rPr>
          <w:rFonts w:ascii="Times New Roman" w:eastAsia="Times New Roman" w:hAnsi="Times New Roman" w:cs="Times New Roman"/>
          <w:color w:val="000000" w:themeColor="text1"/>
          <w:sz w:val="26"/>
          <w:szCs w:val="26"/>
        </w:rPr>
      </w:pPr>
    </w:p>
    <w:p w14:paraId="2C18E9E1" w14:textId="77777777" w:rsidR="00C9298A" w:rsidRPr="00C9298A" w:rsidRDefault="00C9298A" w:rsidP="00C9298A">
      <w:pPr>
        <w:spacing w:line="238" w:lineRule="auto"/>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 xml:space="preserve">Vì tỷ lệ béo phì trong dân số Mỹ tăng lên, nên tỉ lệ mắc đái tháo đường type 2 cũng tăng theo. 90% những trường hợp mắc mới đái tháo đường ở Mỹ được chẩn đoán là đái tháo đường type 2, và người ta ước tính rằng bệnh này đã ảnh hưởng đến khoảng 7% dân số Mỹ trên 45 tuổi. </w:t>
      </w:r>
      <w:r w:rsidRPr="00C9298A">
        <w:rPr>
          <w:rFonts w:ascii="Times New Roman" w:eastAsia="Times New Roman" w:hAnsi="Times New Roman" w:cs="Times New Roman"/>
          <w:b/>
          <w:color w:val="000000" w:themeColor="text1"/>
          <w:sz w:val="26"/>
          <w:szCs w:val="26"/>
        </w:rPr>
        <w:t>Đái tháo đường gây ra mù lòa, suy thận và</w:t>
      </w:r>
      <w:r w:rsidRPr="00C9298A">
        <w:rPr>
          <w:rFonts w:ascii="Times New Roman" w:eastAsia="Times New Roman" w:hAnsi="Times New Roman" w:cs="Times New Roman"/>
          <w:color w:val="000000" w:themeColor="text1"/>
          <w:sz w:val="26"/>
          <w:szCs w:val="26"/>
        </w:rPr>
        <w:t xml:space="preserve"> </w:t>
      </w:r>
      <w:r w:rsidRPr="00C9298A">
        <w:rPr>
          <w:rFonts w:ascii="Times New Roman" w:eastAsia="Times New Roman" w:hAnsi="Times New Roman" w:cs="Times New Roman"/>
          <w:b/>
          <w:color w:val="000000" w:themeColor="text1"/>
          <w:sz w:val="26"/>
          <w:szCs w:val="26"/>
        </w:rPr>
        <w:t xml:space="preserve">cắt cụt chi dưới không do chấn thương. </w:t>
      </w:r>
      <w:r w:rsidRPr="00C9298A">
        <w:rPr>
          <w:rFonts w:ascii="Times New Roman" w:eastAsia="Times New Roman" w:hAnsi="Times New Roman" w:cs="Times New Roman"/>
          <w:color w:val="000000" w:themeColor="text1"/>
          <w:sz w:val="26"/>
          <w:szCs w:val="26"/>
        </w:rPr>
        <w:t>Nó là yếu tố nguy cơ chính ở bệnh nhân</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mắc bệnh động mạch vành, bệnh mạch máu ngoại biên và đột quỵ.</w:t>
      </w:r>
    </w:p>
    <w:p w14:paraId="52D1383A" w14:textId="77777777" w:rsidR="00C9298A" w:rsidRPr="00C9298A" w:rsidRDefault="00C9298A" w:rsidP="00C9298A">
      <w:pPr>
        <w:spacing w:line="12" w:lineRule="exact"/>
        <w:rPr>
          <w:rFonts w:ascii="Times New Roman" w:eastAsia="Times New Roman" w:hAnsi="Times New Roman" w:cs="Times New Roman"/>
          <w:color w:val="000000" w:themeColor="text1"/>
          <w:sz w:val="26"/>
          <w:szCs w:val="26"/>
        </w:rPr>
      </w:pPr>
    </w:p>
    <w:p w14:paraId="3F66DA98" w14:textId="430E59EB" w:rsidR="00C9298A" w:rsidRPr="00C9298A" w:rsidRDefault="00C9298A" w:rsidP="00C9298A">
      <w:pPr>
        <w:spacing w:line="239" w:lineRule="auto"/>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 xml:space="preserve">Trái ngược với đái tháo đường type 1, đái tháo đường type 2 thường có </w:t>
      </w:r>
      <w:r w:rsidRPr="00C9298A">
        <w:rPr>
          <w:rFonts w:ascii="Times New Roman" w:eastAsia="Times New Roman" w:hAnsi="Times New Roman" w:cs="Times New Roman"/>
          <w:b/>
          <w:color w:val="000000" w:themeColor="text1"/>
          <w:sz w:val="26"/>
          <w:szCs w:val="26"/>
        </w:rPr>
        <w:t>giai</w:t>
      </w:r>
      <w:r w:rsidRPr="00C9298A">
        <w:rPr>
          <w:rFonts w:ascii="Times New Roman" w:eastAsia="Times New Roman" w:hAnsi="Times New Roman" w:cs="Times New Roman"/>
          <w:color w:val="000000" w:themeColor="text1"/>
          <w:sz w:val="26"/>
          <w:szCs w:val="26"/>
        </w:rPr>
        <w:t xml:space="preserve"> </w:t>
      </w:r>
      <w:r w:rsidRPr="00C9298A">
        <w:rPr>
          <w:rFonts w:ascii="Times New Roman" w:eastAsia="Times New Roman" w:hAnsi="Times New Roman" w:cs="Times New Roman"/>
          <w:b/>
          <w:color w:val="000000" w:themeColor="text1"/>
          <w:sz w:val="26"/>
          <w:szCs w:val="26"/>
        </w:rPr>
        <w:t>đoạn không triệu chứng kéo dài</w:t>
      </w:r>
      <w:r w:rsidRPr="00C9298A">
        <w:rPr>
          <w:rFonts w:ascii="Times New Roman" w:eastAsia="Times New Roman" w:hAnsi="Times New Roman" w:cs="Times New Roman"/>
          <w:color w:val="000000" w:themeColor="text1"/>
          <w:sz w:val="26"/>
          <w:szCs w:val="26"/>
        </w:rPr>
        <w:t xml:space="preserve">. Trong giai đoạn này, tăng </w:t>
      </w:r>
      <w:r w:rsidR="00F84096">
        <w:rPr>
          <w:rFonts w:ascii="Times New Roman" w:eastAsia="Times New Roman" w:hAnsi="Times New Roman" w:cs="Times New Roman"/>
          <w:color w:val="000000" w:themeColor="text1"/>
          <w:sz w:val="26"/>
          <w:szCs w:val="26"/>
        </w:rPr>
        <w:t>đường huyết</w:t>
      </w:r>
      <w:r w:rsidRPr="00C9298A">
        <w:rPr>
          <w:rFonts w:ascii="Times New Roman" w:eastAsia="Times New Roman" w:hAnsi="Times New Roman" w:cs="Times New Roman"/>
          <w:color w:val="000000" w:themeColor="text1"/>
          <w:sz w:val="26"/>
          <w:szCs w:val="26"/>
        </w:rPr>
        <w:t xml:space="preserve"> thường</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 xml:space="preserve">không gây ra triệu chứng gì, tuy nhiên sự tổn thương các cơ quan đã bắt đầu xảy ra. Do đó, một số tổ chức khuyên nên sàng lọc những nhóm có nguy cơ cao nhất định trong cộng đồng. </w:t>
      </w:r>
      <w:r w:rsidRPr="00C9298A">
        <w:rPr>
          <w:rFonts w:ascii="Times New Roman" w:eastAsia="Times New Roman" w:hAnsi="Times New Roman" w:cs="Times New Roman"/>
          <w:b/>
          <w:color w:val="000000" w:themeColor="text1"/>
          <w:sz w:val="26"/>
          <w:szCs w:val="26"/>
        </w:rPr>
        <w:t>Các yếu tố nguy cơ của đái tháo đường</w:t>
      </w:r>
      <w:r w:rsidRPr="00C9298A">
        <w:rPr>
          <w:rFonts w:ascii="Times New Roman" w:eastAsia="Times New Roman" w:hAnsi="Times New Roman" w:cs="Times New Roman"/>
          <w:color w:val="000000" w:themeColor="text1"/>
          <w:sz w:val="26"/>
          <w:szCs w:val="26"/>
        </w:rPr>
        <w:t xml:space="preserve"> bao gồm béo phì hoặc thừa cân (BMI &gt; 25 kg/m2); có các dấu hiệu khác của hội chứng đề kháng insulin hoặc hội chứng “chuyển hóa” như tăng huyết áp, giảm các HDL, triglycerid &gt;250 mg/dL; tiền sử gia đình (bố mẹ, con cái, anh chị em ruột) bị đái tháo đường; tiền sử đái tháo đường thai kỳ; hoặc là một thành viên của một nhóm dân tộc có nguy cơ cao bao gồm người Mỹ gốc Phi, người gốc Tây Ban Nha, người Mỹ da đỏ, người Mỹ gốc Á, hoặc dân đảo Thái Bình Dương. </w:t>
      </w:r>
      <w:r w:rsidRPr="00C9298A">
        <w:rPr>
          <w:rFonts w:ascii="Times New Roman" w:eastAsia="Times New Roman" w:hAnsi="Times New Roman" w:cs="Times New Roman"/>
          <w:b/>
          <w:color w:val="000000" w:themeColor="text1"/>
          <w:sz w:val="26"/>
          <w:szCs w:val="26"/>
        </w:rPr>
        <w:t>Việc sàng lọc nên được thực hiện 3</w:t>
      </w:r>
      <w:r w:rsidRPr="00C9298A">
        <w:rPr>
          <w:rFonts w:ascii="Times New Roman" w:eastAsia="Times New Roman" w:hAnsi="Times New Roman" w:cs="Times New Roman"/>
          <w:color w:val="000000" w:themeColor="text1"/>
          <w:sz w:val="26"/>
          <w:szCs w:val="26"/>
        </w:rPr>
        <w:t xml:space="preserve"> </w:t>
      </w:r>
      <w:r w:rsidRPr="00C9298A">
        <w:rPr>
          <w:rFonts w:ascii="Times New Roman" w:eastAsia="Times New Roman" w:hAnsi="Times New Roman" w:cs="Times New Roman"/>
          <w:b/>
          <w:color w:val="000000" w:themeColor="text1"/>
          <w:sz w:val="26"/>
          <w:szCs w:val="26"/>
        </w:rPr>
        <w:t>năm một lần bắt đầu từ 45 tuổi trở lên, hoặc bắt đầu sớm hơn nếu thừa cân với BMI &gt; 25 kg/m2</w:t>
      </w:r>
      <w:r w:rsidRPr="00C9298A">
        <w:rPr>
          <w:rFonts w:ascii="Times New Roman" w:eastAsia="Times New Roman" w:hAnsi="Times New Roman" w:cs="Times New Roman"/>
          <w:color w:val="000000" w:themeColor="text1"/>
          <w:sz w:val="26"/>
          <w:szCs w:val="26"/>
        </w:rPr>
        <w:t>.</w:t>
      </w:r>
    </w:p>
    <w:p w14:paraId="67DCC4AB" w14:textId="77777777" w:rsidR="00C9298A" w:rsidRPr="00C9298A" w:rsidRDefault="00C9298A" w:rsidP="00C9298A">
      <w:pPr>
        <w:spacing w:line="31" w:lineRule="exact"/>
        <w:rPr>
          <w:rFonts w:ascii="Times New Roman" w:eastAsia="Times New Roman" w:hAnsi="Times New Roman" w:cs="Times New Roman"/>
          <w:color w:val="000000" w:themeColor="text1"/>
          <w:sz w:val="26"/>
          <w:szCs w:val="26"/>
        </w:rPr>
      </w:pPr>
    </w:p>
    <w:p w14:paraId="79950C2E" w14:textId="4F063928" w:rsidR="00C9298A" w:rsidRPr="00C9298A" w:rsidRDefault="00C9298A" w:rsidP="00C9298A">
      <w:pPr>
        <w:spacing w:line="262" w:lineRule="auto"/>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lastRenderedPageBreak/>
        <w:t xml:space="preserve">Hầu hết bệnh nhân đái tháo đường typ 2 có đề kháng insulin và tăng insulin huyết nhiều năm trước khi phát triển thành bệnh đái tháo đường. Những bệnh nhân này có khả năng duy trì </w:t>
      </w:r>
      <w:r w:rsidR="00F84096">
        <w:rPr>
          <w:rFonts w:ascii="Times New Roman" w:eastAsia="Times New Roman" w:hAnsi="Times New Roman" w:cs="Times New Roman"/>
          <w:color w:val="000000" w:themeColor="text1"/>
          <w:sz w:val="26"/>
          <w:szCs w:val="26"/>
        </w:rPr>
        <w:t>đường huyết</w:t>
      </w:r>
      <w:r w:rsidRPr="00C9298A">
        <w:rPr>
          <w:rFonts w:ascii="Times New Roman" w:eastAsia="Times New Roman" w:hAnsi="Times New Roman" w:cs="Times New Roman"/>
          <w:color w:val="000000" w:themeColor="text1"/>
          <w:sz w:val="26"/>
          <w:szCs w:val="26"/>
        </w:rPr>
        <w:t xml:space="preserve"> bình thường trong một khoảng thời gian dài, sau đó sẽ phát triển thành tăng đường huyết sau ăn, và muộn hơn nữa là cả tăng hường huyết sau ăn và tăng đường huyết lúc đói (tức là, tăng đường huyết liên tục ). Vì vậy, </w:t>
      </w:r>
      <w:r w:rsidRPr="00C9298A">
        <w:rPr>
          <w:rFonts w:ascii="Times New Roman" w:eastAsia="Times New Roman" w:hAnsi="Times New Roman" w:cs="Times New Roman"/>
          <w:b/>
          <w:color w:val="000000" w:themeColor="text1"/>
          <w:sz w:val="26"/>
          <w:szCs w:val="26"/>
        </w:rPr>
        <w:t xml:space="preserve">nghiệm pháp dung nạp glucose </w:t>
      </w:r>
      <w:r w:rsidRPr="00C9298A">
        <w:rPr>
          <w:rFonts w:ascii="Times New Roman" w:eastAsia="Times New Roman" w:hAnsi="Times New Roman" w:cs="Times New Roman"/>
          <w:color w:val="000000" w:themeColor="text1"/>
          <w:sz w:val="26"/>
          <w:szCs w:val="26"/>
        </w:rPr>
        <w:t>để phát hiện tăng đường huyết sau ăn là thử</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 xml:space="preserve">nghiệm có độ nhạy cao nhất để chẩn đoán đái tháo đường, tuy nhiên thử nghiệm này tốn thời gian và khó thực hiện trong thực hành lâm sàng. </w:t>
      </w:r>
      <w:r w:rsidRPr="00C9298A">
        <w:rPr>
          <w:rFonts w:ascii="Times New Roman" w:eastAsia="Times New Roman" w:hAnsi="Times New Roman" w:cs="Times New Roman"/>
          <w:b/>
          <w:color w:val="000000" w:themeColor="text1"/>
          <w:sz w:val="26"/>
          <w:szCs w:val="26"/>
        </w:rPr>
        <w:t>Đường huyết lúc đói</w:t>
      </w:r>
      <w:r w:rsidRPr="00C9298A">
        <w:rPr>
          <w:rFonts w:ascii="Times New Roman" w:eastAsia="Times New Roman" w:hAnsi="Times New Roman" w:cs="Times New Roman"/>
          <w:color w:val="000000" w:themeColor="text1"/>
          <w:sz w:val="26"/>
          <w:szCs w:val="26"/>
        </w:rPr>
        <w:t xml:space="preserve"> là xét nghiệm đặc hiệu nhất</w:t>
      </w:r>
      <w:r w:rsidRPr="00C9298A">
        <w:rPr>
          <w:rFonts w:ascii="Times New Roman" w:eastAsia="Times New Roman" w:hAnsi="Times New Roman" w:cs="Times New Roman"/>
          <w:b/>
          <w:color w:val="000000" w:themeColor="text1"/>
          <w:sz w:val="26"/>
          <w:szCs w:val="26"/>
        </w:rPr>
        <w:t>. HbA1C (hemoglobin A1C) &gt;6,5%</w:t>
      </w:r>
      <w:r w:rsidRPr="00C9298A">
        <w:rPr>
          <w:rFonts w:ascii="Times New Roman" w:eastAsia="Times New Roman" w:hAnsi="Times New Roman" w:cs="Times New Roman"/>
          <w:color w:val="000000" w:themeColor="text1"/>
          <w:sz w:val="26"/>
          <w:szCs w:val="26"/>
        </w:rPr>
        <w:t xml:space="preserve"> - hiện nay cũng được công nhận là một tiêu chuẩn chẩn đoán</w:t>
      </w:r>
      <w:r w:rsidR="00F84096">
        <w:rPr>
          <w:rFonts w:ascii="Times New Roman" w:eastAsia="Times New Roman" w:hAnsi="Times New Roman" w:cs="Times New Roman"/>
          <w:color w:val="000000" w:themeColor="text1"/>
          <w:sz w:val="26"/>
          <w:szCs w:val="26"/>
        </w:rPr>
        <w:t xml:space="preserve">. </w:t>
      </w:r>
      <w:r w:rsidRPr="00C9298A">
        <w:rPr>
          <w:rFonts w:ascii="Times New Roman" w:eastAsia="Times New Roman" w:hAnsi="Times New Roman" w:cs="Times New Roman"/>
          <w:color w:val="000000" w:themeColor="text1"/>
          <w:sz w:val="26"/>
          <w:szCs w:val="26"/>
        </w:rPr>
        <w:t xml:space="preserve">Nếu không có các triệu chứng rõ ràng của tăng đường huyết, chẩn đoán đái tháo đường phải được thực hiện vào ngày tiếp theo bằng cách lặp lại những xét nghiệm đã thực hiện vào ngày hôm trước. Tuy nhiên, nếu có 2 xét nghiệm khác nhau (ví dụ như </w:t>
      </w:r>
      <w:r w:rsidR="00F84096">
        <w:rPr>
          <w:rFonts w:ascii="Times New Roman" w:eastAsia="Times New Roman" w:hAnsi="Times New Roman" w:cs="Times New Roman"/>
          <w:color w:val="000000" w:themeColor="text1"/>
          <w:sz w:val="26"/>
          <w:szCs w:val="26"/>
        </w:rPr>
        <w:t>đường huyết</w:t>
      </w:r>
      <w:r w:rsidRPr="00C9298A">
        <w:rPr>
          <w:rFonts w:ascii="Times New Roman" w:eastAsia="Times New Roman" w:hAnsi="Times New Roman" w:cs="Times New Roman"/>
          <w:color w:val="000000" w:themeColor="text1"/>
          <w:sz w:val="26"/>
          <w:szCs w:val="26"/>
        </w:rPr>
        <w:t xml:space="preserve"> lúc đói và HbA1C) có kết quả phù hợp với chẩn đoán đái tháo đường thì việc làm thêm xét</w:t>
      </w:r>
      <w:r w:rsidRPr="00C9298A">
        <w:rPr>
          <w:rFonts w:ascii="Times New Roman" w:eastAsia="Times New Roman" w:hAnsi="Times New Roman" w:cs="Times New Roman"/>
          <w:color w:val="000000" w:themeColor="text1"/>
          <w:sz w:val="26"/>
          <w:szCs w:val="26"/>
          <w:lang w:val="vi-VN"/>
        </w:rPr>
        <w:t xml:space="preserve"> </w:t>
      </w:r>
      <w:r w:rsidRPr="00C9298A">
        <w:rPr>
          <w:rFonts w:ascii="Times New Roman" w:eastAsia="Times New Roman" w:hAnsi="Times New Roman" w:cs="Times New Roman"/>
          <w:color w:val="000000" w:themeColor="text1"/>
          <w:sz w:val="26"/>
          <w:szCs w:val="26"/>
        </w:rPr>
        <w:t>nghiệm là không cần thiết.</w:t>
      </w:r>
    </w:p>
    <w:p w14:paraId="66012A35" w14:textId="3A223752" w:rsidR="00C9298A" w:rsidRPr="00C9298A" w:rsidRDefault="00C9298A" w:rsidP="00C9298A">
      <w:pPr>
        <w:spacing w:line="238" w:lineRule="auto"/>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 xml:space="preserve">Bằng cách sử dụng các xét nghiệm này, bệnh nhân có thể được phân thành một trong ba loại: (1) bình thường, (2) giảm dung nạp glucose/rối loạn đường huyết lúc đói ("tiền đái tháo đường"), (3) bệnh đái tháo đường. Gia tăng nguy cơ các biến chứng mạch máu nhỏ của đái tháo đường khi </w:t>
      </w:r>
      <w:r w:rsidR="00F84096">
        <w:rPr>
          <w:rFonts w:ascii="Times New Roman" w:eastAsia="Times New Roman" w:hAnsi="Times New Roman" w:cs="Times New Roman"/>
          <w:color w:val="000000" w:themeColor="text1"/>
          <w:sz w:val="26"/>
          <w:szCs w:val="26"/>
        </w:rPr>
        <w:t>đường huyết</w:t>
      </w:r>
      <w:r w:rsidRPr="00C9298A">
        <w:rPr>
          <w:rFonts w:ascii="Times New Roman" w:eastAsia="Times New Roman" w:hAnsi="Times New Roman" w:cs="Times New Roman"/>
          <w:color w:val="000000" w:themeColor="text1"/>
          <w:sz w:val="26"/>
          <w:szCs w:val="26"/>
        </w:rPr>
        <w:t xml:space="preserve"> lúc đói </w:t>
      </w:r>
      <w:r w:rsidR="00F84096">
        <w:rPr>
          <w:rFonts w:ascii="Helvetica" w:hAnsi="Helvetica" w:cs="Helvetica"/>
          <w:color w:val="333333"/>
          <w:sz w:val="23"/>
          <w:szCs w:val="23"/>
          <w:shd w:val="clear" w:color="auto" w:fill="FFFFFF"/>
        </w:rPr>
        <w:t>≥</w:t>
      </w:r>
      <w:r w:rsidRPr="00C9298A">
        <w:rPr>
          <w:rFonts w:ascii="Times New Roman" w:eastAsia="Times New Roman" w:hAnsi="Times New Roman" w:cs="Times New Roman"/>
          <w:color w:val="000000" w:themeColor="text1"/>
          <w:sz w:val="26"/>
          <w:szCs w:val="26"/>
        </w:rPr>
        <w:t>126 mg/dL hoặc HbA1C&gt; 6,5</w:t>
      </w:r>
      <w:r w:rsidR="00A37914">
        <w:rPr>
          <w:rFonts w:ascii="Times New Roman" w:eastAsia="Times New Roman" w:hAnsi="Times New Roman" w:cs="Times New Roman"/>
          <w:color w:val="000000" w:themeColor="text1"/>
          <w:sz w:val="26"/>
          <w:szCs w:val="26"/>
        </w:rPr>
        <w:t>%</w:t>
      </w:r>
      <w:bookmarkStart w:id="0" w:name="_GoBack"/>
      <w:bookmarkEnd w:id="0"/>
      <w:r w:rsidRPr="00C9298A">
        <w:rPr>
          <w:rFonts w:ascii="Times New Roman" w:eastAsia="Times New Roman" w:hAnsi="Times New Roman" w:cs="Times New Roman"/>
          <w:color w:val="000000" w:themeColor="text1"/>
          <w:sz w:val="26"/>
          <w:szCs w:val="26"/>
        </w:rPr>
        <w:t>. Một khi bệnh đái tháo đường được chẩn đoán, điều trị được đặt ra với ba mục tiêu chính:</w:t>
      </w:r>
    </w:p>
    <w:p w14:paraId="54FBF1BA" w14:textId="37613653" w:rsidR="00C9298A" w:rsidRPr="00C9298A" w:rsidRDefault="00C9298A" w:rsidP="00C9298A">
      <w:pPr>
        <w:pStyle w:val="ListParagraph"/>
        <w:numPr>
          <w:ilvl w:val="0"/>
          <w:numId w:val="4"/>
        </w:numPr>
        <w:tabs>
          <w:tab w:val="left" w:pos="520"/>
        </w:tabs>
        <w:spacing w:after="0" w:line="234" w:lineRule="auto"/>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Ngăn chặn các biến chứng cấp tính của tăng đường huyết (nhiễm toan ceton, hôn mê tăng áp lực thẩm thấu) hoặc hạ đường huyết</w:t>
      </w:r>
    </w:p>
    <w:p w14:paraId="12598AEF" w14:textId="05424E57" w:rsidR="00C9298A" w:rsidRPr="00C9298A" w:rsidRDefault="00C9298A" w:rsidP="00C9298A">
      <w:pPr>
        <w:pStyle w:val="ListParagraph"/>
        <w:numPr>
          <w:ilvl w:val="0"/>
          <w:numId w:val="4"/>
        </w:numPr>
        <w:tabs>
          <w:tab w:val="left" w:pos="520"/>
        </w:tabs>
        <w:spacing w:after="0" w:line="234" w:lineRule="auto"/>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Ngăn ngừa các biến chứng lâu dài của tăng đường huyết, ví dụ, bệnh mạch máu nhỏ như bệnh võng mạc hoặc bệnh thận</w:t>
      </w:r>
    </w:p>
    <w:p w14:paraId="2AB3104C" w14:textId="2C8D5137" w:rsidR="00C9298A" w:rsidRPr="00C9298A" w:rsidRDefault="00C9298A" w:rsidP="00C9298A">
      <w:pPr>
        <w:pStyle w:val="ListParagraph"/>
        <w:numPr>
          <w:ilvl w:val="0"/>
          <w:numId w:val="4"/>
        </w:numPr>
        <w:tabs>
          <w:tab w:val="left" w:pos="520"/>
        </w:tabs>
        <w:spacing w:after="0" w:line="234" w:lineRule="auto"/>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Ngăn ngừa các biến chứng lâu dài của bênh mạch máu lớn, ví dụ, bệnh tim mạch hoặc bệnh mạch não</w:t>
      </w:r>
    </w:p>
    <w:p w14:paraId="3B72BFAE" w14:textId="77777777" w:rsidR="00C9298A" w:rsidRDefault="00C9298A" w:rsidP="00C9298A">
      <w:pPr>
        <w:spacing w:line="237" w:lineRule="auto"/>
        <w:ind w:left="100"/>
        <w:jc w:val="both"/>
        <w:rPr>
          <w:rFonts w:ascii="Times New Roman" w:eastAsia="Times New Roman" w:hAnsi="Times New Roman" w:cs="Times New Roman"/>
          <w:color w:val="000000" w:themeColor="text1"/>
          <w:sz w:val="26"/>
          <w:szCs w:val="26"/>
        </w:rPr>
      </w:pPr>
    </w:p>
    <w:p w14:paraId="35000AD9" w14:textId="1C6074EF" w:rsidR="00C9298A" w:rsidRPr="00C9298A" w:rsidRDefault="00C9298A" w:rsidP="00C9298A">
      <w:pPr>
        <w:spacing w:line="237" w:lineRule="auto"/>
        <w:ind w:left="100"/>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Nền tảng của điều trị đái tháo đường là thay đổi lối sống và chế độ ăn uống. Tập thể dục và thậm chí chỉ giảm cân một chút cũng có thể giúp hạ thấp huyết áp và cải thiện khả năng kiểm soát glucose. Bệnh nhân nên được tư vấn về dinh dưỡng và khuyến khích thay đổi các lối sống tĩnh tại.</w:t>
      </w:r>
    </w:p>
    <w:p w14:paraId="4EEEAFF4" w14:textId="6A5F8BA3" w:rsidR="00C9298A" w:rsidRPr="00C9298A" w:rsidRDefault="00C9298A" w:rsidP="00C9298A">
      <w:pPr>
        <w:spacing w:line="252" w:lineRule="auto"/>
        <w:ind w:left="100"/>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 xml:space="preserve">Tuy nhiên, hầu hết bệnh nhân đái tháo đường cuối cùng đều phải sử dụng thuốc và nhiều người cuối cùng sẽ cần sự kết hợp của ít nhất hai loại thuốc. Do khó khăn trong việc đạt được và duy trì các mục tiêu đường huyết và đạt được giảm cân đáng kể, Hiệp hội Đái tháo đường Hoa Kỳ (ADA) khuyến cáo rằng metformin nên được bắt đầu đồng thời với thay đổi lối sống ở thời điểm chẩn đoán xác đinh bệnh. Mục tiêu kiểm soát đường huyết cần phải đạt được là HbA1C &lt;7,0%, glucose trước bữa ăn từ 70 đến 130 mg/dL, hoặc glucose sau bữa ăn tối đa &lt;180 mg/dL. Nếu bệnh nhân không đạt được những mục tiêu trên với điều trị ban đầu bao gồm thay đổi lối sống và metformin, thì các lựa chọn điều trị </w:t>
      </w:r>
      <w:r w:rsidRPr="00C9298A">
        <w:rPr>
          <w:rFonts w:ascii="Times New Roman" w:eastAsia="Times New Roman" w:hAnsi="Times New Roman" w:cs="Times New Roman"/>
          <w:color w:val="000000" w:themeColor="text1"/>
          <w:sz w:val="26"/>
          <w:szCs w:val="26"/>
        </w:rPr>
        <w:lastRenderedPageBreak/>
        <w:t xml:space="preserve">tiếp theo bao gồm thêm một loại thuốc đường uống hoặc tiêm, bao gồm cả insulin, hoặc chuyển sang dùng đơn trị liệu insulin. </w:t>
      </w:r>
    </w:p>
    <w:p w14:paraId="35E0F40A" w14:textId="77777777" w:rsidR="00C9298A" w:rsidRPr="00C9298A" w:rsidRDefault="00C9298A" w:rsidP="00C9298A">
      <w:pPr>
        <w:spacing w:line="7" w:lineRule="exact"/>
        <w:rPr>
          <w:rFonts w:ascii="Times New Roman" w:eastAsia="Times New Roman" w:hAnsi="Times New Roman" w:cs="Times New Roman"/>
          <w:color w:val="000000" w:themeColor="text1"/>
          <w:sz w:val="26"/>
          <w:szCs w:val="26"/>
        </w:rPr>
      </w:pPr>
    </w:p>
    <w:p w14:paraId="00D97701" w14:textId="0CB3C4ED" w:rsidR="00C9298A" w:rsidRPr="00C9298A" w:rsidRDefault="00C9298A" w:rsidP="00C9298A">
      <w:pPr>
        <w:spacing w:line="237" w:lineRule="auto"/>
        <w:ind w:left="100"/>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Khi đã chẩn đoán xác định đái tháo đường, các yếu tố nguy cơ tim mạch khác cũng cần phải được đánh giá. Phải đo huyết áp và định lượng lipid máu. Bệnh nhân đái tháo đường có tăng lipid máu có cùng nguy cơ tim mạch với những bệnh nhân đã được chẩn đoản bệnh động mạch vành, vì vậy mục tiêu LDL là &lt;100 mg/d</w:t>
      </w:r>
      <w:r w:rsidRPr="00C9298A">
        <w:rPr>
          <w:rFonts w:ascii="Times New Roman" w:eastAsia="Times New Roman" w:hAnsi="Times New Roman" w:cs="Times New Roman"/>
          <w:color w:val="000000" w:themeColor="text1"/>
          <w:sz w:val="26"/>
          <w:szCs w:val="26"/>
          <w:lang w:val="vi-VN"/>
        </w:rPr>
        <w:t>L</w:t>
      </w:r>
      <w:bookmarkStart w:id="1" w:name="page391"/>
      <w:bookmarkEnd w:id="1"/>
      <w:r w:rsidRPr="00C9298A">
        <w:rPr>
          <w:rFonts w:ascii="Times New Roman" w:eastAsia="Times New Roman" w:hAnsi="Times New Roman" w:cs="Times New Roman"/>
          <w:color w:val="000000" w:themeColor="text1"/>
          <w:sz w:val="26"/>
          <w:szCs w:val="26"/>
        </w:rPr>
        <w:t xml:space="preserve">Những người có mức LDL cao hơn nên được thay đổi chế độ ăn uống, hoặc bắt đầu sử dụng 1 thuốc nhóm statin. </w:t>
      </w:r>
      <w:r w:rsidRPr="00C9298A">
        <w:rPr>
          <w:rFonts w:ascii="Times New Roman" w:eastAsia="Times New Roman" w:hAnsi="Times New Roman" w:cs="Times New Roman"/>
          <w:b/>
          <w:color w:val="000000" w:themeColor="text1"/>
          <w:sz w:val="26"/>
          <w:szCs w:val="26"/>
        </w:rPr>
        <w:t>Huyết áp mục tiêu là &lt;130/80 mm Hg</w:t>
      </w:r>
      <w:r w:rsidRPr="00C9298A">
        <w:rPr>
          <w:rFonts w:ascii="Times New Roman" w:eastAsia="Times New Roman" w:hAnsi="Times New Roman" w:cs="Times New Roman"/>
          <w:color w:val="000000" w:themeColor="text1"/>
          <w:sz w:val="26"/>
          <w:szCs w:val="26"/>
        </w:rPr>
        <w:t xml:space="preserve">. Một số thử nghiệm ngẫu nhiên đã chứng minh </w:t>
      </w:r>
      <w:r w:rsidRPr="00C9298A">
        <w:rPr>
          <w:rFonts w:ascii="Times New Roman" w:eastAsia="Times New Roman" w:hAnsi="Times New Roman" w:cs="Times New Roman"/>
          <w:b/>
          <w:color w:val="000000" w:themeColor="text1"/>
          <w:sz w:val="26"/>
          <w:szCs w:val="26"/>
        </w:rPr>
        <w:t>lợi ích của thuốc ức chế men</w:t>
      </w:r>
      <w:r w:rsidRPr="00C9298A">
        <w:rPr>
          <w:rFonts w:ascii="Times New Roman" w:eastAsia="Times New Roman" w:hAnsi="Times New Roman" w:cs="Times New Roman"/>
          <w:color w:val="000000" w:themeColor="text1"/>
          <w:sz w:val="26"/>
          <w:szCs w:val="26"/>
        </w:rPr>
        <w:t xml:space="preserve"> </w:t>
      </w:r>
      <w:r w:rsidRPr="00C9298A">
        <w:rPr>
          <w:rFonts w:ascii="Times New Roman" w:eastAsia="Times New Roman" w:hAnsi="Times New Roman" w:cs="Times New Roman"/>
          <w:b/>
          <w:color w:val="000000" w:themeColor="text1"/>
          <w:sz w:val="26"/>
          <w:szCs w:val="26"/>
        </w:rPr>
        <w:t xml:space="preserve">chuyển angiotensin </w:t>
      </w:r>
      <w:r w:rsidRPr="00C9298A">
        <w:rPr>
          <w:rFonts w:ascii="Times New Roman" w:eastAsia="Times New Roman" w:hAnsi="Times New Roman" w:cs="Times New Roman"/>
          <w:color w:val="000000" w:themeColor="text1"/>
          <w:sz w:val="26"/>
          <w:szCs w:val="26"/>
        </w:rPr>
        <w:t>(ACE) và</w:t>
      </w:r>
      <w:r w:rsidRPr="00C9298A">
        <w:rPr>
          <w:rFonts w:ascii="Times New Roman" w:eastAsia="Times New Roman" w:hAnsi="Times New Roman" w:cs="Times New Roman"/>
          <w:b/>
          <w:color w:val="000000" w:themeColor="text1"/>
          <w:sz w:val="26"/>
          <w:szCs w:val="26"/>
        </w:rPr>
        <w:t xml:space="preserve"> thuốc chẹn thụ thể angiotensin </w:t>
      </w:r>
      <w:r w:rsidRPr="00C9298A">
        <w:rPr>
          <w:rFonts w:ascii="Times New Roman" w:eastAsia="Times New Roman" w:hAnsi="Times New Roman" w:cs="Times New Roman"/>
          <w:color w:val="000000" w:themeColor="text1"/>
          <w:sz w:val="26"/>
          <w:szCs w:val="26"/>
        </w:rPr>
        <w:t>(ARBs) trong</w:t>
      </w:r>
      <w:r w:rsidRPr="00C9298A">
        <w:rPr>
          <w:rFonts w:ascii="Times New Roman" w:eastAsia="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việc phòng ngừa sự tiến triển của protein niệu và bệnh thận. Bệnh nhân suy thận hoặc protein niệu cao (&gt; 1-2g/24h) có huyết áp mục tiêu thấp hơn, là 120/75 mmHg.</w:t>
      </w:r>
    </w:p>
    <w:p w14:paraId="31B71357" w14:textId="77777777" w:rsidR="00C9298A" w:rsidRPr="00C9298A" w:rsidRDefault="00C9298A" w:rsidP="00C9298A">
      <w:pPr>
        <w:spacing w:line="13" w:lineRule="exact"/>
        <w:rPr>
          <w:rFonts w:ascii="Times New Roman" w:eastAsia="Times New Roman" w:hAnsi="Times New Roman" w:cs="Times New Roman"/>
          <w:color w:val="000000" w:themeColor="text1"/>
          <w:sz w:val="26"/>
          <w:szCs w:val="26"/>
        </w:rPr>
      </w:pPr>
    </w:p>
    <w:p w14:paraId="576DD05D" w14:textId="70625E36" w:rsidR="00C9298A" w:rsidRPr="00C9298A" w:rsidRDefault="00C9298A" w:rsidP="00C9298A">
      <w:pPr>
        <w:spacing w:line="228" w:lineRule="auto"/>
        <w:ind w:right="80"/>
        <w:jc w:val="both"/>
        <w:rPr>
          <w:rFonts w:ascii="Times New Roman" w:eastAsia="Times New Roman" w:hAnsi="Times New Roman" w:cs="Times New Roman"/>
          <w:color w:val="000000" w:themeColor="text1"/>
          <w:sz w:val="26"/>
          <w:szCs w:val="26"/>
        </w:rPr>
      </w:pPr>
      <w:r w:rsidRPr="00C9298A">
        <w:rPr>
          <w:rFonts w:ascii="Times New Roman" w:eastAsia="Times New Roman" w:hAnsi="Times New Roman" w:cs="Times New Roman"/>
          <w:color w:val="000000" w:themeColor="text1"/>
          <w:sz w:val="26"/>
          <w:szCs w:val="26"/>
        </w:rPr>
        <w:t>Các chăm sóc thông thường khác ở bệnh nhân đái tháo đường bao gồm tái khám thường xuyên, ít nhất mỗi 3 đến 6 tháng tùy thuộc vào kiểm soát đường huyết, khám mắt ít nhất một năm 1 lần để tầm soát bệnh võng mạc, kiểm tra để sàng lọc bệnh võng mạc, và xét nghiệm nước tiểu hàng năm để phát hiện microalbumin niệu. H</w:t>
      </w:r>
      <w:r w:rsidR="00F84096">
        <w:rPr>
          <w:rFonts w:ascii="Times New Roman" w:eastAsia="Times New Roman" w:hAnsi="Times New Roman" w:cs="Times New Roman"/>
          <w:color w:val="000000" w:themeColor="text1"/>
          <w:sz w:val="26"/>
          <w:szCs w:val="26"/>
        </w:rPr>
        <w:t>b</w:t>
      </w:r>
      <w:r w:rsidRPr="00C9298A">
        <w:rPr>
          <w:rFonts w:ascii="Times New Roman" w:eastAsia="Times New Roman" w:hAnsi="Times New Roman" w:cs="Times New Roman"/>
          <w:color w:val="000000" w:themeColor="text1"/>
          <w:sz w:val="26"/>
          <w:szCs w:val="26"/>
        </w:rPr>
        <w:t>A1C nên được kiểm tra ít nhất 3 đến 6 tháng một lần tùy thuộc vào sự kiểm soát glucose của bệnh nhân. Thử nghiệm này cho phép bác sĩ biết sự kiểm soát glucose trong vòng 2 đến 3 tháng trước.</w:t>
      </w:r>
    </w:p>
    <w:p w14:paraId="52695F60" w14:textId="337232E8" w:rsidR="008D6F93" w:rsidRDefault="00C9298A" w:rsidP="00C9298A">
      <w:pPr>
        <w:jc w:val="both"/>
        <w:rPr>
          <w:rFonts w:ascii="Times New Roman" w:eastAsia="Times New Roman" w:hAnsi="Times New Roman"/>
          <w:color w:val="000000" w:themeColor="text1"/>
          <w:sz w:val="26"/>
          <w:szCs w:val="26"/>
        </w:rPr>
      </w:pPr>
      <w:r w:rsidRPr="00C9298A">
        <w:rPr>
          <w:rFonts w:ascii="Times New Roman" w:hAnsi="Times New Roman" w:cs="Times New Roman"/>
          <w:bCs/>
          <w:color w:val="000000" w:themeColor="text1"/>
          <w:sz w:val="26"/>
          <w:szCs w:val="26"/>
        </w:rPr>
        <w:t>Bệnh</w:t>
      </w:r>
      <w:r w:rsidRPr="00C9298A">
        <w:rPr>
          <w:rFonts w:ascii="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nhân không có bệnh rối loạn thần kinh nên được khám bàn chân hàng</w:t>
      </w:r>
      <w:r w:rsidRPr="00C9298A">
        <w:rPr>
          <w:rFonts w:ascii="Times New Roman" w:hAnsi="Times New Roman" w:cs="Times New Roman"/>
          <w:b/>
          <w:color w:val="000000" w:themeColor="text1"/>
          <w:sz w:val="26"/>
          <w:szCs w:val="26"/>
        </w:rPr>
        <w:t xml:space="preserve"> </w:t>
      </w:r>
      <w:r w:rsidRPr="00C9298A">
        <w:rPr>
          <w:rFonts w:ascii="Times New Roman" w:eastAsia="Times New Roman" w:hAnsi="Times New Roman" w:cs="Times New Roman"/>
          <w:color w:val="000000" w:themeColor="text1"/>
          <w:sz w:val="26"/>
          <w:szCs w:val="26"/>
        </w:rPr>
        <w:t>năm để phát hiện bệnh rối loạn thần kinh sớm; tuy nhiên, những người có bệnh lý về thần kinh nên được khám mỗi 3 tháng</w:t>
      </w:r>
      <w:r w:rsidRPr="00C9298A">
        <w:rPr>
          <w:rFonts w:ascii="Times New Roman" w:eastAsia="Times New Roman" w:hAnsi="Times New Roman"/>
          <w:color w:val="000000" w:themeColor="text1"/>
          <w:sz w:val="26"/>
          <w:szCs w:val="26"/>
        </w:rPr>
        <w:t xml:space="preserve"> một lần và được hướng dẫn tự khám hàng ngày và cách phòng ngừa thương tích.</w:t>
      </w:r>
    </w:p>
    <w:p w14:paraId="6956F7FC" w14:textId="77777777" w:rsidR="00F84096" w:rsidRPr="00A13499" w:rsidRDefault="00F84096" w:rsidP="00F84096">
      <w:pPr>
        <w:jc w:val="both"/>
        <w:rPr>
          <w:rFonts w:ascii="Times New Roman" w:hAnsi="Times New Roman" w:cs="Times New Roman"/>
          <w:b/>
          <w:bCs/>
          <w:sz w:val="26"/>
          <w:szCs w:val="26"/>
        </w:rPr>
      </w:pPr>
      <w:r w:rsidRPr="00A13499">
        <w:rPr>
          <w:rFonts w:ascii="Times New Roman" w:hAnsi="Times New Roman" w:cs="Times New Roman"/>
          <w:b/>
          <w:bCs/>
          <w:sz w:val="26"/>
          <w:szCs w:val="26"/>
        </w:rPr>
        <w:t>TÀI LIỆU THAM KHẢO</w:t>
      </w:r>
    </w:p>
    <w:p w14:paraId="48746F64" w14:textId="77777777" w:rsidR="00F84096" w:rsidRPr="00A13499" w:rsidRDefault="00F84096" w:rsidP="00F84096">
      <w:pPr>
        <w:jc w:val="both"/>
        <w:rPr>
          <w:rFonts w:ascii="Times New Roman" w:hAnsi="Times New Roman" w:cs="Times New Roman"/>
          <w:sz w:val="26"/>
          <w:szCs w:val="26"/>
        </w:rPr>
      </w:pPr>
      <w:r w:rsidRPr="00A13499">
        <w:rPr>
          <w:rFonts w:ascii="Times New Roman" w:hAnsi="Times New Roman" w:cs="Times New Roman"/>
          <w:sz w:val="26"/>
          <w:szCs w:val="26"/>
        </w:rPr>
        <w:t>American Diabetes Association</w:t>
      </w:r>
      <w:r>
        <w:rPr>
          <w:rFonts w:ascii="Times New Roman" w:hAnsi="Times New Roman" w:cs="Times New Roman"/>
          <w:sz w:val="26"/>
          <w:szCs w:val="26"/>
        </w:rPr>
        <w:t xml:space="preserve"> (2015).</w:t>
      </w:r>
      <w:r w:rsidRPr="00A13499">
        <w:rPr>
          <w:rFonts w:ascii="Times New Roman" w:hAnsi="Times New Roman" w:cs="Times New Roman"/>
          <w:sz w:val="26"/>
          <w:szCs w:val="26"/>
        </w:rPr>
        <w:t xml:space="preserve"> </w:t>
      </w:r>
      <w:r w:rsidRPr="001F72DD">
        <w:rPr>
          <w:rFonts w:ascii="Times New Roman" w:hAnsi="Times New Roman" w:cs="Times New Roman"/>
          <w:i/>
          <w:iCs/>
          <w:sz w:val="26"/>
          <w:szCs w:val="26"/>
        </w:rPr>
        <w:t>Standards of medical care in diabetes 2015 Diabetes Care.</w:t>
      </w:r>
      <w:r w:rsidRPr="00A13499">
        <w:rPr>
          <w:rFonts w:ascii="Times New Roman" w:hAnsi="Times New Roman" w:cs="Times New Roman"/>
          <w:sz w:val="26"/>
          <w:szCs w:val="26"/>
        </w:rPr>
        <w:t xml:space="preserve"> </w:t>
      </w:r>
      <w:r>
        <w:rPr>
          <w:rFonts w:ascii="Times New Roman" w:hAnsi="Times New Roman" w:cs="Times New Roman"/>
          <w:sz w:val="26"/>
          <w:szCs w:val="26"/>
        </w:rPr>
        <w:t>USA</w:t>
      </w:r>
    </w:p>
    <w:p w14:paraId="35E217EF" w14:textId="77777777" w:rsidR="00F84096" w:rsidRPr="00F54468" w:rsidRDefault="00F84096" w:rsidP="00F84096">
      <w:pPr>
        <w:jc w:val="both"/>
        <w:rPr>
          <w:rFonts w:ascii="Times New Roman" w:hAnsi="Times New Roman" w:cs="Times New Roman"/>
          <w:sz w:val="26"/>
          <w:szCs w:val="26"/>
        </w:rPr>
      </w:pPr>
      <w:r w:rsidRPr="001F72DD">
        <w:rPr>
          <w:rFonts w:ascii="Times New Roman" w:hAnsi="Times New Roman" w:cs="Times New Roman"/>
          <w:sz w:val="26"/>
          <w:szCs w:val="26"/>
        </w:rPr>
        <w:t xml:space="preserve">J. Larry Jameson (2018). </w:t>
      </w:r>
      <w:r w:rsidRPr="001F72DD">
        <w:rPr>
          <w:rFonts w:ascii="Times New Roman" w:hAnsi="Times New Roman" w:cs="Times New Roman"/>
          <w:i/>
          <w:iCs/>
          <w:sz w:val="26"/>
          <w:szCs w:val="26"/>
        </w:rPr>
        <w:t xml:space="preserve">Harrison’s Principle of internal medicine. Pennsylvania, </w:t>
      </w:r>
      <w:r w:rsidRPr="001F72DD">
        <w:rPr>
          <w:rFonts w:ascii="Times New Roman" w:hAnsi="Times New Roman" w:cs="Times New Roman"/>
          <w:sz w:val="26"/>
          <w:szCs w:val="26"/>
        </w:rPr>
        <w:t>USA: Mc Grow Hill Education.</w:t>
      </w:r>
    </w:p>
    <w:p w14:paraId="3F17C9C5" w14:textId="77777777" w:rsidR="001006E3" w:rsidRPr="00C9298A" w:rsidRDefault="001006E3" w:rsidP="00C9298A">
      <w:pPr>
        <w:jc w:val="both"/>
        <w:rPr>
          <w:rFonts w:ascii="Times New Roman" w:hAnsi="Times New Roman" w:cs="Times New Roman"/>
          <w:color w:val="000000" w:themeColor="text1"/>
          <w:sz w:val="26"/>
          <w:szCs w:val="26"/>
        </w:rPr>
      </w:pPr>
    </w:p>
    <w:sectPr w:rsidR="001006E3" w:rsidRPr="00C92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3445A24"/>
    <w:lvl w:ilvl="0">
      <w:numFmt w:val="none"/>
      <w:lvlText w:val=""/>
      <w:lvlJc w:val="left"/>
      <w:pPr>
        <w:tabs>
          <w:tab w:val="num" w:pos="360"/>
        </w:tabs>
      </w:pPr>
    </w:lvl>
    <w:lvl w:ilvl="1">
      <w:numFmt w:val="none"/>
      <w:lvlText w:val=""/>
      <w:lvlJc w:val="left"/>
      <w:pPr>
        <w:tabs>
          <w:tab w:val="num" w:pos="360"/>
        </w:tabs>
      </w:pPr>
    </w:lvl>
    <w:lvl w:ilvl="2">
      <w:start w:val="1"/>
      <w:numFmt w:val="bullet"/>
      <w:lvlText w:val=""/>
      <w:lvlJc w:val="left"/>
    </w:lvl>
    <w:lvl w:ilvl="3">
      <w:start w:val="1"/>
      <w:numFmt w:val="bullet"/>
      <w:lvlText w:val=""/>
      <w:lvlJc w:val="left"/>
    </w:lvl>
    <w:lvl w:ilvl="4">
      <w:start w:val="1"/>
      <w:numFmt w:val="upperLetter"/>
      <w:lvlText w:val="%1."/>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276D3EDF"/>
    <w:multiLevelType w:val="hybridMultilevel"/>
    <w:tmpl w:val="EEA8661A"/>
    <w:lvl w:ilvl="0" w:tplc="CFCEB2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64FDA"/>
    <w:multiLevelType w:val="hybridMultilevel"/>
    <w:tmpl w:val="294A6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225DE"/>
    <w:multiLevelType w:val="hybridMultilevel"/>
    <w:tmpl w:val="5B625C50"/>
    <w:lvl w:ilvl="0" w:tplc="5588D4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68"/>
    <w:rsid w:val="001006E3"/>
    <w:rsid w:val="001A5077"/>
    <w:rsid w:val="005E46CC"/>
    <w:rsid w:val="008D6F93"/>
    <w:rsid w:val="00A36A93"/>
    <w:rsid w:val="00A37914"/>
    <w:rsid w:val="00C9298A"/>
    <w:rsid w:val="00D7707D"/>
    <w:rsid w:val="00F54468"/>
    <w:rsid w:val="00F84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3231A"/>
  <w15:chartTrackingRefBased/>
  <w15:docId w15:val="{43C37DBC-4C1E-44D2-AE6E-4924658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4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4468"/>
    <w:rPr>
      <w:b/>
      <w:bCs/>
    </w:rPr>
  </w:style>
  <w:style w:type="character" w:styleId="Hyperlink">
    <w:name w:val="Hyperlink"/>
    <w:basedOn w:val="DefaultParagraphFont"/>
    <w:uiPriority w:val="99"/>
    <w:unhideWhenUsed/>
    <w:rsid w:val="00F54468"/>
    <w:rPr>
      <w:color w:val="0000FF"/>
      <w:u w:val="single"/>
    </w:rPr>
  </w:style>
  <w:style w:type="character" w:styleId="UnresolvedMention">
    <w:name w:val="Unresolved Mention"/>
    <w:basedOn w:val="DefaultParagraphFont"/>
    <w:uiPriority w:val="99"/>
    <w:semiHidden/>
    <w:unhideWhenUsed/>
    <w:rsid w:val="00F54468"/>
    <w:rPr>
      <w:color w:val="605E5C"/>
      <w:shd w:val="clear" w:color="auto" w:fill="E1DFDD"/>
    </w:rPr>
  </w:style>
  <w:style w:type="paragraph" w:styleId="ListParagraph">
    <w:name w:val="List Paragraph"/>
    <w:basedOn w:val="Normal"/>
    <w:uiPriority w:val="34"/>
    <w:qFormat/>
    <w:rsid w:val="008D6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6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D8AB8-E3BA-494C-BDC1-0F7D2EB69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Bão Huỳnh</dc:creator>
  <cp:keywords/>
  <dc:description/>
  <cp:lastModifiedBy>Bão Huỳnh</cp:lastModifiedBy>
  <cp:revision>8</cp:revision>
  <dcterms:created xsi:type="dcterms:W3CDTF">2020-05-17T16:29:00Z</dcterms:created>
  <dcterms:modified xsi:type="dcterms:W3CDTF">2020-05-18T04:36:00Z</dcterms:modified>
</cp:coreProperties>
</file>